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 w:firstLine="5529"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№ 1</w:t>
      </w:r>
    </w:p>
    <w:p w14:paraId="02000000">
      <w:pPr>
        <w:widowControl w:val="1"/>
        <w:ind w:firstLine="5529" w:left="6372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к </w:t>
      </w:r>
      <w:r>
        <w:rPr>
          <w:rFonts w:ascii="XO Thames" w:hAnsi="XO Thames"/>
          <w:sz w:val="28"/>
        </w:rPr>
        <w:t xml:space="preserve">к </w:t>
      </w:r>
      <w:r>
        <w:rPr>
          <w:rFonts w:ascii="XO Thames" w:hAnsi="XO Thames"/>
          <w:sz w:val="28"/>
        </w:rPr>
        <w:t xml:space="preserve">решению Думы Кашинского             муниципального округа Тверской области                      </w:t>
      </w:r>
      <w:r>
        <w:rPr>
          <w:rFonts w:ascii="XO Thames" w:hAnsi="XO Thames"/>
          <w:sz w:val="28"/>
        </w:rPr>
        <w:t xml:space="preserve"> от</w:t>
      </w:r>
      <w:r>
        <w:rPr>
          <w:rFonts w:ascii="XO Thames" w:hAnsi="XO Thames"/>
          <w:sz w:val="28"/>
        </w:rPr>
        <w:t xml:space="preserve"> 09.06.2026 </w:t>
      </w:r>
      <w:r>
        <w:rPr>
          <w:rFonts w:ascii="XO Thames" w:hAnsi="XO Thames"/>
          <w:sz w:val="28"/>
        </w:rPr>
        <w:t>№</w:t>
      </w:r>
      <w:r>
        <w:rPr>
          <w:rFonts w:ascii="XO Thames" w:hAnsi="XO Thames"/>
          <w:sz w:val="28"/>
        </w:rPr>
        <w:t xml:space="preserve"> 215</w:t>
      </w:r>
      <w:r>
        <w:rPr>
          <w:rFonts w:ascii="XO Thames" w:hAnsi="XO Thames"/>
          <w:sz w:val="28"/>
        </w:rPr>
        <w:t xml:space="preserve">   </w:t>
      </w:r>
    </w:p>
    <w:p w14:paraId="03000000">
      <w:pPr>
        <w:widowControl w:val="1"/>
        <w:ind w:firstLine="5529"/>
        <w:rPr>
          <w:rFonts w:ascii="XO Thames" w:hAnsi="XO Thames"/>
          <w:sz w:val="28"/>
        </w:rPr>
      </w:pPr>
    </w:p>
    <w:p w14:paraId="04000000">
      <w:pPr>
        <w:widowControl w:val="1"/>
        <w:ind w:firstLine="5529"/>
        <w:rPr>
          <w:rFonts w:ascii="XO Thames" w:hAnsi="XO Thames"/>
          <w:sz w:val="28"/>
        </w:rPr>
      </w:pPr>
    </w:p>
    <w:p w14:paraId="05000000">
      <w:pPr>
        <w:widowControl w:val="1"/>
        <w:ind/>
        <w:jc w:val="right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ПРОЕКТ</w:t>
      </w:r>
    </w:p>
    <w:tbl>
      <w:tblPr>
        <w:tblStyle w:val="Style_1"/>
        <w:tblW w:type="auto" w:w="0"/>
        <w:tblLayout w:type="fixed"/>
      </w:tblPr>
      <w:tblGrid>
        <w:gridCol w:w="5631"/>
        <w:gridCol w:w="277"/>
        <w:gridCol w:w="3316"/>
        <w:gridCol w:w="414"/>
      </w:tblGrid>
      <w:tr>
        <w:tc>
          <w:tcPr>
            <w:tcW w:type="dxa" w:w="9638"/>
            <w:gridSpan w:val="4"/>
            <w:vAlign w:val="bottom"/>
          </w:tcPr>
          <w:p w14:paraId="06000000">
            <w:pPr>
              <w:widowControl w:val="1"/>
              <w:spacing w:line="288" w:lineRule="auto"/>
              <w:ind/>
              <w:jc w:val="center"/>
              <w:rPr>
                <w:rFonts w:ascii="XO Thames" w:hAnsi="XO Thames"/>
                <w:b w:val="1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w:drawing>
                <wp:inline>
                  <wp:extent cx="514350" cy="714375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514350" cy="7143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7000000">
            <w:pPr>
              <w:widowControl w:val="1"/>
              <w:ind/>
              <w:jc w:val="center"/>
              <w:rPr>
                <w:rFonts w:ascii="XO Thames" w:hAnsi="XO Thames"/>
                <w:b w:val="1"/>
                <w:caps w:val="1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Дума Кашинского муниципального округа</w:t>
            </w:r>
          </w:p>
          <w:p w14:paraId="08000000">
            <w:pPr>
              <w:widowControl w:val="1"/>
              <w:ind/>
              <w:jc w:val="center"/>
              <w:rPr>
                <w:rFonts w:ascii="XO Thames" w:hAnsi="XO Thames"/>
                <w:b w:val="1"/>
                <w:caps w:val="1"/>
                <w:sz w:val="28"/>
              </w:rPr>
            </w:pPr>
            <w:r>
              <w:rPr>
                <w:rFonts w:ascii="XO Thames" w:hAnsi="XO Thames"/>
                <w:b w:val="1"/>
                <w:caps w:val="1"/>
                <w:sz w:val="28"/>
              </w:rPr>
              <w:t>ТВЕРСКОЙ ОБЛАСТИ</w:t>
            </w:r>
          </w:p>
          <w:p w14:paraId="09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A000000">
            <w:pPr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b w:val="1"/>
                <w:sz w:val="28"/>
              </w:rPr>
              <mc:AlternateContent>
                <mc:Choice Requires="wpg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0" distL="114300" distR="114300" distT="0" layoutInCell="true" locked="false" relativeHeight="251658240" simplePos="false">
                      <wp:simplePos x="0" y="0"/>
                      <wp:positionH relativeFrom="column">
                        <wp:posOffset>-21272</wp:posOffset>
                      </wp:positionH>
                      <wp:positionV relativeFrom="page">
                        <wp:posOffset>1868272</wp:posOffset>
                      </wp:positionV>
                      <wp:extent cx="5760720" cy="236220"/>
                      <wp:wrapNone/>
                      <wp:docPr hidden="false" id="3" name="Picture 3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false" flipV="false" rot="0">
                                <a:off x="0" y="0"/>
                                <a:ext cx="5760720" cy="236220"/>
                                <a:chOff x="0" y="0"/>
                                <a:chExt cx="5760720" cy="236220"/>
                              </a:xfrm>
                            </wpg:grpSpPr>
                            <wps:wsp>
                              <wps:cNvSpPr txBox="false"/>
                              <wps:spPr>
                                <a:xfrm flipH="false" flipV="false" rot="0">
                                  <a:off x="0" y="0"/>
                                  <a:ext cx="1645920" cy="236220"/>
                                </a:xfrm>
                                <a:custGeom>
                                  <a:avLst/>
                                  <a:gdLst>
                                    <a:gd fmla="val 0" name="COTextRectL"/>
                                    <a:gd fmla="val 0" name="COTextRectT"/>
                                    <a:gd fmla="val 1" name="COTextRectR"/>
                                    <a:gd fmla="val 1" name="COTextRectB"/>
                                    <a:gd fmla="val 0" name="ODFLeft"/>
                                    <a:gd fmla="val 0" name="ODFTop"/>
                                    <a:gd fmla="val 21600" name="ODFRight"/>
                                    <a:gd fmla="val 21600" name="ODFBottom"/>
                                    <a:gd fmla="val 21600" name="ODFWidth"/>
                                    <a:gd fmla="val 21600" name="ODFHeight"/>
                                    <a:gd fmla="*/ COTextRectL w 1" name="OXMLTextRectL"/>
                                    <a:gd fmla="*/ COTextRectT h 1" name="OXMLTextRectT"/>
                                    <a:gd fmla="*/ COTextRectR w 1" name="OXMLTextRectR"/>
                                    <a:gd fmla="*/ COTextRectB h 1" name="OXMLTextRectB"/>
                                  </a:gdLst>
                                  <a:rect b="OXMLTextRectB" l="OXMLTextRectL" r="OXMLTextRectR" t="OXMLTextRectT"/>
                                  <a:pathLst>
                                    <a:path fill="norm" h="21600" stroke="true" w="21600">
                                      <a:moveTo>
                                        <a:pt x="0" y="0"/>
                                      </a:moveTo>
                                      <a:lnTo>
                                        <a:pt x="0" y="21600"/>
                                      </a:lnTo>
                                      <a:lnTo>
                                        <a:pt x="21600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000000">
                                    <w:pPr>
                                      <w:pStyle w:val="Style_2"/>
                                      <w:rPr>
                                        <w:rFonts w:ascii="Times New Roman" w:hAnsi="Times New Roman"/>
                                        <w:color w:val="000000"/>
                                        <w:spacing w:val="0"/>
                                        <w:sz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anchor="t" bIns="0" lIns="288036" rIns="0" tIns="0">
                                <a:noAutofit/>
                              </wps:bodyPr>
                            </wps:wsp>
                            <wps:wsp>
                              <wps:cNvSpPr txBox="false"/>
                              <wps:spPr>
                                <a:xfrm flipH="false" flipV="false" rot="0">
                                  <a:off x="4785360" y="0"/>
                                  <a:ext cx="975359" cy="236220"/>
                                </a:xfrm>
                                <a:custGeom>
                                  <a:avLst/>
                                  <a:gdLst>
                                    <a:gd fmla="val 0" name="COTextRectL"/>
                                    <a:gd fmla="val 0" name="COTextRectT"/>
                                    <a:gd fmla="val 1" name="COTextRectR"/>
                                    <a:gd fmla="val 1" name="COTextRectB"/>
                                    <a:gd fmla="val 0" name="ODFLeft"/>
                                    <a:gd fmla="val 0" name="ODFTop"/>
                                    <a:gd fmla="val 21600" name="ODFRight"/>
                                    <a:gd fmla="val 21600" name="ODFBottom"/>
                                    <a:gd fmla="val 21600" name="ODFWidth"/>
                                    <a:gd fmla="val 21600" name="ODFHeight"/>
                                    <a:gd fmla="*/ COTextRectL w 1" name="OXMLTextRectL"/>
                                    <a:gd fmla="*/ COTextRectT h 1" name="OXMLTextRectT"/>
                                    <a:gd fmla="*/ COTextRectR w 1" name="OXMLTextRectR"/>
                                    <a:gd fmla="*/ COTextRectB h 1" name="OXMLTextRectB"/>
                                  </a:gdLst>
                                  <a:rect b="OXMLTextRectB" l="OXMLTextRectL" r="OXMLTextRectR" t="OXMLTextRectT"/>
                                  <a:pathLst>
                                    <a:path fill="norm" h="21600" stroke="true" w="21600">
                                      <a:moveTo>
                                        <a:pt x="0" y="0"/>
                                      </a:moveTo>
                                      <a:lnTo>
                                        <a:pt x="0" y="21600"/>
                                      </a:lnTo>
                                      <a:lnTo>
                                        <a:pt x="21600" y="21600"/>
                                      </a:lnTo>
                                      <a:lnTo>
                                        <a:pt x="216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000000">
                                    <w:pPr>
                                      <w:pStyle w:val="Style_2"/>
                                      <w:rPr>
                                        <w:color w:val="000000"/>
                                        <w:spacing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anchor="t" bIns="0" lIns="288036" rIns="0" tIns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XO Thames" w:hAnsi="XO Thames"/>
                <w:b w:val="1"/>
                <w:sz w:val="28"/>
              </w:rPr>
              <w:t>Р Е Ш Е Н И Е</w:t>
            </w:r>
          </w:p>
          <w:p w14:paraId="0D000000">
            <w:pPr>
              <w:widowControl w:val="1"/>
              <w:ind/>
              <w:jc w:val="center"/>
              <w:rPr>
                <w:rFonts w:ascii="XO Thames" w:hAnsi="XO Thames"/>
                <w:b w:val="1"/>
                <w:sz w:val="28"/>
              </w:rPr>
            </w:pPr>
          </w:p>
          <w:p w14:paraId="0E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XO Thames" w:hAnsi="XO Thames"/>
                <w:sz w:val="28"/>
                <w:u w:val="single"/>
              </w:rPr>
            </w:pPr>
            <w:r>
              <w:rPr>
                <w:rFonts w:ascii="XO Thames" w:hAnsi="XO Thames"/>
                <w:sz w:val="28"/>
              </w:rPr>
              <w:t xml:space="preserve">от </w:t>
            </w:r>
            <w:r>
              <w:rPr>
                <w:rFonts w:ascii="XO Thames" w:hAnsi="XO Thames"/>
                <w:sz w:val="28"/>
                <w:u w:val="single"/>
              </w:rPr>
              <w:t xml:space="preserve"> 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 xml:space="preserve">          г. Кашин</w:t>
            </w:r>
            <w:r>
              <w:rPr>
                <w:rFonts w:ascii="XO Thames" w:hAnsi="XO Thames"/>
                <w:sz w:val="28"/>
              </w:rPr>
              <w:tab/>
            </w:r>
            <w:r>
              <w:rPr>
                <w:rFonts w:ascii="XO Thames" w:hAnsi="XO Thames"/>
                <w:sz w:val="28"/>
              </w:rPr>
              <w:t>№</w:t>
            </w:r>
            <w:r>
              <w:rPr>
                <w:rFonts w:ascii="XO Thames" w:hAnsi="XO Thames"/>
                <w:sz w:val="28"/>
                <w:u w:val="single"/>
              </w:rPr>
              <w:t xml:space="preserve">  </w:t>
            </w:r>
            <w:r>
              <w:rPr>
                <w:rFonts w:ascii="XO Thames" w:hAnsi="XO Thames"/>
                <w:sz w:val="28"/>
                <w:u w:val="single"/>
              </w:rPr>
              <w:tab/>
            </w:r>
          </w:p>
        </w:tc>
      </w:tr>
      <w:tr>
        <w:tc>
          <w:tcPr>
            <w:tcW w:type="dxa" w:w="5631"/>
            <w:shd w:fill="auto" w:val="clear"/>
          </w:tcPr>
          <w:p w14:paraId="0F000000">
            <w:pPr>
              <w:widowControl w:val="0"/>
              <w:ind w:right="101"/>
              <w:rPr>
                <w:rFonts w:ascii="XO Thames" w:hAnsi="XO Thames"/>
                <w:sz w:val="28"/>
              </w:rPr>
            </w:pPr>
          </w:p>
        </w:tc>
        <w:tc>
          <w:tcPr>
            <w:tcW w:type="dxa" w:w="277"/>
            <w:shd w:fill="auto" w:val="clear"/>
          </w:tcPr>
          <w:p w14:paraId="10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11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</w:p>
        </w:tc>
        <w:tc>
          <w:tcPr>
            <w:tcW w:type="dxa" w:w="414"/>
          </w:tcPr>
          <w:p w14:paraId="12000000">
            <w:pPr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5631"/>
            <w:shd w:fill="auto" w:val="clear"/>
          </w:tcPr>
          <w:p w14:paraId="13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Об утверждении отчета </w:t>
            </w:r>
          </w:p>
          <w:p w14:paraId="14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об исполнении бюджета </w:t>
            </w:r>
          </w:p>
          <w:p w14:paraId="15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Кашинского муниципального</w:t>
            </w:r>
          </w:p>
          <w:p w14:paraId="16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округа Тверской области </w:t>
            </w:r>
          </w:p>
          <w:p w14:paraId="17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за 2025 год </w:t>
            </w:r>
          </w:p>
          <w:p w14:paraId="18000000">
            <w:pPr>
              <w:rPr>
                <w:rFonts w:ascii="XO Thames" w:hAnsi="XO Thames"/>
                <w:sz w:val="28"/>
              </w:rPr>
            </w:pPr>
          </w:p>
          <w:p w14:paraId="19000000">
            <w:pPr>
              <w:rPr>
                <w:rFonts w:ascii="XO Thames" w:hAnsi="XO Thames"/>
                <w:sz w:val="28"/>
              </w:rPr>
            </w:pPr>
          </w:p>
          <w:p w14:paraId="1A000000">
            <w:pPr>
              <w:rPr>
                <w:rFonts w:ascii="XO Thames" w:hAnsi="XO Thames"/>
                <w:sz w:val="28"/>
              </w:rPr>
            </w:pPr>
          </w:p>
        </w:tc>
        <w:tc>
          <w:tcPr>
            <w:tcW w:type="dxa" w:w="277"/>
            <w:shd w:fill="auto" w:val="clear"/>
          </w:tcPr>
          <w:p w14:paraId="1B000000">
            <w:pPr>
              <w:widowControl w:val="0"/>
              <w:ind/>
              <w:jc w:val="center"/>
              <w:rPr>
                <w:rFonts w:ascii="XO Thames" w:hAnsi="XO Thames"/>
                <w:sz w:val="28"/>
              </w:rPr>
            </w:pPr>
          </w:p>
        </w:tc>
        <w:tc>
          <w:tcPr>
            <w:tcW w:type="dxa" w:w="3316"/>
            <w:shd w:fill="auto" w:val="clear"/>
          </w:tcPr>
          <w:p w14:paraId="1C000000">
            <w:pPr>
              <w:widowControl w:val="0"/>
              <w:tabs>
                <w:tab w:leader="none" w:pos="4358" w:val="left"/>
              </w:tabs>
              <w:ind w:right="-2"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 </w:t>
            </w:r>
          </w:p>
        </w:tc>
        <w:tc>
          <w:tcPr>
            <w:tcW w:type="dxa" w:w="414"/>
          </w:tcPr>
          <w:p w14:paraId="1D000000">
            <w:pPr>
              <w:rPr>
                <w:rFonts w:ascii="XO Thames" w:hAnsi="XO Thames"/>
                <w:sz w:val="28"/>
              </w:rPr>
            </w:pPr>
          </w:p>
        </w:tc>
      </w:tr>
    </w:tbl>
    <w:p w14:paraId="1E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В соответствии со статьей 264.6 Бюджетного кодекса Российской Федерации,</w:t>
      </w:r>
      <w:r>
        <w:rPr>
          <w:rFonts w:ascii="XO Thames" w:hAnsi="XO Thames"/>
          <w:color w:val="FB290D"/>
          <w:sz w:val="28"/>
        </w:rPr>
        <w:t xml:space="preserve"> </w:t>
      </w:r>
      <w:r>
        <w:rPr>
          <w:rFonts w:ascii="XO Thames" w:hAnsi="XO Thames"/>
          <w:sz w:val="28"/>
        </w:rPr>
        <w:t>Уставом Кашинского муниципального округа Тверской области</w:t>
      </w:r>
    </w:p>
    <w:p w14:paraId="1F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20000000">
      <w:pPr>
        <w:widowControl w:val="1"/>
        <w:ind/>
        <w:jc w:val="center"/>
        <w:rPr>
          <w:rFonts w:ascii="XO Thames" w:hAnsi="XO Thames"/>
          <w:b w:val="1"/>
          <w:caps w:val="1"/>
          <w:sz w:val="28"/>
        </w:rPr>
      </w:pPr>
      <w:r>
        <w:rPr>
          <w:rFonts w:ascii="XO Thames" w:hAnsi="XO Thames"/>
          <w:b w:val="1"/>
          <w:caps w:val="1"/>
          <w:sz w:val="28"/>
        </w:rPr>
        <w:t>Дума Кашинского муниципального округа</w:t>
      </w:r>
    </w:p>
    <w:p w14:paraId="21000000">
      <w:pPr>
        <w:widowControl w:val="1"/>
        <w:ind w:firstLine="709"/>
        <w:jc w:val="center"/>
        <w:rPr>
          <w:rFonts w:ascii="XO Thames" w:hAnsi="XO Thames"/>
          <w:sz w:val="28"/>
        </w:rPr>
      </w:pPr>
      <w:r>
        <w:rPr>
          <w:rFonts w:ascii="XO Thames" w:hAnsi="XO Thames"/>
          <w:b w:val="1"/>
          <w:caps w:val="1"/>
          <w:sz w:val="28"/>
        </w:rPr>
        <w:t>ТВЕРСКОЙ ОБЛАСТИ</w:t>
      </w:r>
      <w:r>
        <w:rPr>
          <w:rFonts w:ascii="XO Thames" w:hAnsi="XO Thames"/>
          <w:b w:val="1"/>
          <w:sz w:val="28"/>
        </w:rPr>
        <w:t xml:space="preserve"> РЕШИЛА: </w:t>
      </w:r>
    </w:p>
    <w:p w14:paraId="22000000">
      <w:pPr>
        <w:widowControl w:val="1"/>
        <w:ind w:firstLine="709"/>
        <w:jc w:val="both"/>
        <w:rPr>
          <w:rFonts w:ascii="XO Thames" w:hAnsi="XO Thames"/>
          <w:sz w:val="28"/>
        </w:rPr>
      </w:pPr>
    </w:p>
    <w:p w14:paraId="23000000">
      <w:pPr>
        <w:widowControl w:val="1"/>
        <w:ind w:firstLine="709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1.</w:t>
      </w:r>
      <w:r>
        <w:rPr>
          <w:rFonts w:ascii="XO Thames" w:hAnsi="XO Thames"/>
          <w:sz w:val="28"/>
        </w:rPr>
        <w:t>Утвердить отчет об исполнении бюджета Кашинского муниципального округа Тверской области за 2025 год по доходам в сумме 1175416,0 тыс. руб., по расходам в сумме 1181649,8</w:t>
      </w:r>
      <w:r>
        <w:rPr>
          <w:rFonts w:ascii="XO Thames" w:hAnsi="XO Thames"/>
          <w:sz w:val="28"/>
        </w:rPr>
        <w:t xml:space="preserve"> тыс. руб., с превышением доходов над расходами в сумме 6233,8 тыс. руб.</w:t>
      </w:r>
    </w:p>
    <w:p w14:paraId="24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2. </w:t>
      </w:r>
      <w:r>
        <w:rPr>
          <w:rFonts w:ascii="XO Thames" w:hAnsi="XO Thames"/>
          <w:sz w:val="28"/>
        </w:rPr>
        <w:t>Утвердить исполнение:</w:t>
      </w:r>
    </w:p>
    <w:p w14:paraId="25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источникам финансирования дефицита бюджета Кашинского муниципального округа Тверской области за 2025 год согласно приложению № 1 к настоящему решению;</w:t>
      </w:r>
    </w:p>
    <w:p w14:paraId="26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по </w:t>
      </w:r>
      <w:r>
        <w:rPr>
          <w:rFonts w:ascii="XO Thames" w:hAnsi="XO Thames"/>
          <w:sz w:val="28"/>
        </w:rPr>
        <w:t>поступлению доходов в бюджет Кашинского муниципального округа Тверской области за 2025 год согласно приложению № 2 к настоящему решению;</w:t>
      </w:r>
    </w:p>
    <w:p w14:paraId="27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распределению бюджетных ассигнований бюджета Кашинского муниципального округа Тверской области за 2025 год по раздел</w:t>
      </w:r>
      <w:r>
        <w:rPr>
          <w:rFonts w:ascii="XO Thames" w:hAnsi="XO Thames"/>
          <w:sz w:val="28"/>
        </w:rPr>
        <w:t>ам и подразделам классификации расходов бюджета за 2025 год согласно приложению № 3 к настоящему решению;</w:t>
      </w:r>
    </w:p>
    <w:p w14:paraId="28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распределению бюджетных ассигнований бюджета Кашинского муниципального округа Тверской области за 2025 год по разделам, подразделам, целевым статья</w:t>
      </w:r>
      <w:r>
        <w:rPr>
          <w:rFonts w:ascii="XO Thames" w:hAnsi="XO Thames"/>
          <w:sz w:val="28"/>
        </w:rPr>
        <w:t xml:space="preserve">м (муниципальным программам и непрограммным направлениям </w:t>
      </w:r>
      <w:r>
        <w:rPr>
          <w:rFonts w:ascii="XO Thames" w:hAnsi="XO Thames"/>
          <w:sz w:val="28"/>
        </w:rPr>
        <w:t>деятельности), группам видов расходов классификации расходов бюджетов за 2025 год согласно приложению № 4 к настоящему решению;</w:t>
      </w:r>
    </w:p>
    <w:p w14:paraId="29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ведомственной структуре расходов бюджета Кашинского муниципального о</w:t>
      </w:r>
      <w:r>
        <w:rPr>
          <w:rFonts w:ascii="XO Thames" w:hAnsi="XO Thames"/>
          <w:sz w:val="28"/>
        </w:rPr>
        <w:t xml:space="preserve">круга Тверской области за 2025 год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за 2025 год </w:t>
      </w:r>
      <w:r>
        <w:rPr>
          <w:rFonts w:ascii="XO Thames" w:hAnsi="XO Thames"/>
          <w:sz w:val="28"/>
        </w:rPr>
        <w:t>согласно приложению № 5 к настоящему решению;</w:t>
      </w:r>
    </w:p>
    <w:p w14:paraId="2A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распределению бюджетных ассигнований бюджета Кашинского муниципального округа Тверской области по целевым статьям (муниципальным программами непрограммным направлениям деятельности), группам видов расходов к</w:t>
      </w:r>
      <w:r>
        <w:rPr>
          <w:rFonts w:ascii="XO Thames" w:hAnsi="XO Thames"/>
          <w:sz w:val="28"/>
        </w:rPr>
        <w:t>лассификации расходов бюджетов за 2025 год согласно приложению № 6 к настоящему решению;</w:t>
      </w:r>
    </w:p>
    <w:p w14:paraId="2B000000">
      <w:pPr>
        <w:widowControl w:val="1"/>
        <w:numPr>
          <w:ilvl w:val="0"/>
          <w:numId w:val="1"/>
        </w:numPr>
        <w:ind w:firstLine="709" w:left="0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 общему объему бюджетных ассигнований, направляемых на исполнение публичных нормативных обязательств Кашинского муниципального округа Тверской области за 2025 год со</w:t>
      </w:r>
      <w:r>
        <w:rPr>
          <w:rFonts w:ascii="XO Thames" w:hAnsi="XO Thames"/>
          <w:sz w:val="28"/>
        </w:rPr>
        <w:t>гласно приложению № 7 к настоящему решению.</w:t>
      </w:r>
    </w:p>
    <w:p w14:paraId="2C000000">
      <w:pPr>
        <w:widowControl w:val="1"/>
        <w:ind w:firstLine="709"/>
        <w:jc w:val="both"/>
        <w:rPr>
          <w:rFonts w:ascii="XO Thames" w:hAnsi="XO Thames"/>
          <w:color w:val="FB290D"/>
          <w:sz w:val="28"/>
        </w:rPr>
      </w:pPr>
      <w:r>
        <w:rPr>
          <w:rFonts w:ascii="XO Thames" w:hAnsi="XO Thames"/>
          <w:color w:themeColor="text1" w:val="000000"/>
          <w:sz w:val="28"/>
        </w:rPr>
        <w:t>3.</w:t>
      </w:r>
      <w:r>
        <w:rPr>
          <w:rFonts w:ascii="XO Thames" w:hAnsi="XO Thames"/>
          <w:color w:val="FB290D"/>
          <w:sz w:val="28"/>
        </w:rPr>
        <w:t xml:space="preserve"> </w:t>
      </w:r>
      <w:r>
        <w:rPr>
          <w:rFonts w:ascii="XO Thames" w:hAnsi="XO Thames"/>
          <w:sz w:val="28"/>
        </w:rPr>
        <w:t>Настоящее решение вступает в силу со дня его принятия, подлежит официальному опубликованию в газете «</w:t>
      </w:r>
      <w:r>
        <w:rPr>
          <w:rFonts w:ascii="XO Thames" w:hAnsi="XO Thames"/>
          <w:sz w:val="28"/>
        </w:rPr>
        <w:t>Кашинская</w:t>
      </w:r>
      <w:r>
        <w:rPr>
          <w:rFonts w:ascii="XO Thames" w:hAnsi="XO Thames"/>
          <w:sz w:val="28"/>
        </w:rPr>
        <w:t xml:space="preserve"> газета» и размещению на официальном сайте Кашинского муниципального округа Тверской области в инфо</w:t>
      </w:r>
      <w:r>
        <w:rPr>
          <w:rFonts w:ascii="XO Thames" w:hAnsi="XO Thames"/>
          <w:sz w:val="28"/>
        </w:rPr>
        <w:t>рмационно</w:t>
      </w:r>
      <w:r>
        <w:rPr>
          <w:rFonts w:ascii="XO Thames" w:hAnsi="XO Thames"/>
        </w:rPr>
        <w:t xml:space="preserve"> </w:t>
      </w:r>
      <w:r>
        <w:rPr>
          <w:rFonts w:ascii="XO Thames" w:hAnsi="XO Thames"/>
          <w:sz w:val="28"/>
        </w:rPr>
        <w:t>- телекоммуникационной сети «Интернет».</w:t>
      </w:r>
    </w:p>
    <w:p w14:paraId="2D000000">
      <w:pPr>
        <w:widowControl w:val="0"/>
        <w:tabs>
          <w:tab w:leader="none" w:pos="10205" w:val="left"/>
        </w:tabs>
        <w:ind w:right="-1"/>
        <w:jc w:val="both"/>
        <w:rPr>
          <w:rFonts w:ascii="XO Thames" w:hAnsi="XO Thames"/>
          <w:sz w:val="28"/>
        </w:rPr>
      </w:pPr>
    </w:p>
    <w:p w14:paraId="2E000000">
      <w:pPr>
        <w:rPr>
          <w:rFonts w:ascii="XO Thames" w:hAnsi="XO Thames"/>
          <w:sz w:val="28"/>
        </w:rPr>
      </w:pPr>
    </w:p>
    <w:p w14:paraId="2F000000">
      <w:pPr>
        <w:rPr>
          <w:rFonts w:ascii="XO Thames" w:hAnsi="XO Thames"/>
          <w:sz w:val="28"/>
        </w:rPr>
      </w:pPr>
    </w:p>
    <w:p w14:paraId="30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Председатель Думы Кашинского </w:t>
      </w:r>
    </w:p>
    <w:p w14:paraId="31000000">
      <w:pPr>
        <w:widowControl w:val="1"/>
        <w:tabs>
          <w:tab w:leader="none" w:pos="10205" w:val="left"/>
        </w:tabs>
        <w:ind w:right="-1"/>
        <w:rPr>
          <w:rFonts w:ascii="XO Thames" w:hAnsi="XO Thames"/>
          <w:color w:themeColor="text1" w:val="000000"/>
          <w:sz w:val="28"/>
        </w:rPr>
      </w:pPr>
      <w:r>
        <w:rPr>
          <w:rFonts w:ascii="XO Thames" w:hAnsi="XO Thames"/>
          <w:sz w:val="28"/>
        </w:rPr>
        <w:t xml:space="preserve">муниципального округа Тверской </w:t>
      </w:r>
      <w:r>
        <w:rPr>
          <w:rFonts w:ascii="XO Thames" w:hAnsi="XO Thames"/>
          <w:color w:themeColor="text1" w:val="000000"/>
          <w:sz w:val="28"/>
        </w:rPr>
        <w:t>области                                   И. А. Мурашова</w:t>
      </w:r>
    </w:p>
    <w:p w14:paraId="32000000">
      <w:pPr>
        <w:widowControl w:val="1"/>
        <w:ind w:right="-1"/>
        <w:jc w:val="both"/>
        <w:rPr>
          <w:rFonts w:ascii="XO Thames" w:hAnsi="XO Thames"/>
          <w:color w:val="FB290D"/>
          <w:sz w:val="28"/>
        </w:rPr>
      </w:pPr>
    </w:p>
    <w:p w14:paraId="33000000">
      <w:pPr>
        <w:widowControl w:val="1"/>
        <w:ind w:right="-1"/>
        <w:jc w:val="both"/>
        <w:rPr>
          <w:rFonts w:ascii="XO Thames" w:hAnsi="XO Thames"/>
          <w:color w:val="FB290D"/>
          <w:sz w:val="28"/>
        </w:rPr>
      </w:pPr>
    </w:p>
    <w:p w14:paraId="34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Глава Кашинского муниципального                                   </w:t>
      </w:r>
    </w:p>
    <w:p w14:paraId="35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округа Тверской области                                                                  А.В. Рагузин                    </w:t>
      </w:r>
    </w:p>
    <w:p w14:paraId="36000000">
      <w:pPr>
        <w:widowControl w:val="1"/>
        <w:ind w:right="-1"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                          </w:t>
      </w:r>
    </w:p>
    <w:p w14:paraId="3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8000000">
      <w:pPr>
        <w:widowControl w:val="0"/>
        <w:tabs>
          <w:tab w:leader="none" w:pos="10205" w:val="left"/>
        </w:tabs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sectPr>
      <w:pgSz w:h="16838" w:orient="portrait" w:w="11906"/>
      <w:pgMar w:bottom="1134" w:footer="720" w:gutter="0" w:header="720" w:left="1701" w:right="567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"/>
      <w:lvlJc w:val="left"/>
      <w:pPr>
        <w:widowControl w:val="0"/>
        <w:ind w:hanging="360" w:left="720"/>
      </w:pPr>
      <w:rPr>
        <w:rFonts w:ascii="Symbol" w:hAnsi="Symbol"/>
        <w:spacing w:val="-20"/>
      </w:rPr>
    </w:lvl>
    <w:lvl w:ilvl="1">
      <w:start w:val="1"/>
      <w:numFmt w:val="bullet"/>
      <w:lvlText w:val="o"/>
      <w:lvlJc w:val="left"/>
      <w:pPr>
        <w:widowControl w:val="0"/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 w:val="0"/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 w:val="0"/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 w:val="0"/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 w:val="0"/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 w:val="0"/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 w:val="0"/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 w:val="0"/>
        <w:ind w:hanging="360" w:left="6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ms Rmn" w:hAnsi="Tms Rmn"/>
    </w:rPr>
  </w:style>
  <w:style w:default="1" w:styleId="Style_2_ch" w:type="character">
    <w:name w:val="Normal"/>
    <w:link w:val="Style_2"/>
    <w:rPr>
      <w:rFonts w:ascii="Tms Rmn" w:hAnsi="Tms Rmn"/>
    </w:rPr>
  </w:style>
  <w:style w:styleId="Style_3" w:type="paragraph">
    <w:name w:val="Default Paragraph Font"/>
    <w:link w:val="Style_3_ch"/>
  </w:style>
  <w:style w:styleId="Style_3_ch" w:type="character">
    <w:name w:val="Default Paragraph Font"/>
    <w:link w:val="Style_3"/>
  </w:style>
  <w:style w:styleId="Style_4" w:type="paragraph">
    <w:name w:val="toc 2"/>
    <w:next w:val="Style_2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Balloon Text"/>
    <w:basedOn w:val="Style_2"/>
    <w:link w:val="Style_5_ch"/>
    <w:rPr>
      <w:rFonts w:ascii="Tahoma" w:hAnsi="Tahoma"/>
      <w:sz w:val="16"/>
    </w:rPr>
  </w:style>
  <w:style w:styleId="Style_5_ch" w:type="character">
    <w:name w:val="Balloon Text"/>
    <w:basedOn w:val="Style_2_ch"/>
    <w:link w:val="Style_5"/>
    <w:rPr>
      <w:rFonts w:ascii="Tahoma" w:hAnsi="Tahoma"/>
      <w:sz w:val="16"/>
    </w:rPr>
  </w:style>
  <w:style w:styleId="Style_6" w:type="paragraph">
    <w:name w:val="Гиперссылка1"/>
    <w:link w:val="Style_6_ch"/>
    <w:rPr>
      <w:color w:val="0000FF"/>
      <w:u w:val="single"/>
    </w:rPr>
  </w:style>
  <w:style w:styleId="Style_6_ch" w:type="character">
    <w:name w:val="Гиперссылка1"/>
    <w:link w:val="Style_6"/>
    <w:rPr>
      <w:color w:val="0000FF"/>
      <w:u w:val="single"/>
    </w:rPr>
  </w:style>
  <w:style w:styleId="Style_7" w:type="paragraph">
    <w:name w:val="toc 4"/>
    <w:next w:val="Style_2"/>
    <w:link w:val="Style_7_ch"/>
    <w:uiPriority w:val="39"/>
    <w:pPr>
      <w:widowControl w:val="1"/>
      <w:ind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2"/>
    <w:link w:val="Style_8_ch"/>
    <w:uiPriority w:val="39"/>
    <w:pPr>
      <w:widowControl w:val="1"/>
      <w:ind w:left="1000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2"/>
    <w:link w:val="Style_9_ch"/>
    <w:uiPriority w:val="39"/>
    <w:pPr>
      <w:widowControl w:val="1"/>
      <w:ind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2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ConsPlusNormal"/>
    <w:link w:val="Style_12_ch"/>
    <w:rPr>
      <w:sz w:val="28"/>
    </w:rPr>
  </w:style>
  <w:style w:styleId="Style_12_ch" w:type="character">
    <w:name w:val="ConsPlusNormal"/>
    <w:link w:val="Style_12"/>
    <w:rPr>
      <w:sz w:val="28"/>
    </w:rPr>
  </w:style>
  <w:style w:styleId="Style_13" w:type="paragraph">
    <w:name w:val="toc 3"/>
    <w:next w:val="Style_2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2"/>
    <w:link w:val="Style_14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basedOn w:val="Style_2"/>
    <w:next w:val="Style_2"/>
    <w:link w:val="Style_15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5_ch" w:type="character">
    <w:name w:val="heading 1"/>
    <w:basedOn w:val="Style_2_ch"/>
    <w:link w:val="Style_15"/>
    <w:rPr>
      <w:rFonts w:ascii="Arial" w:hAnsi="Arial"/>
      <w:b w:val="1"/>
      <w:sz w:val="30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Обычный1"/>
    <w:link w:val="Style_19_ch"/>
    <w:rPr>
      <w:rFonts w:ascii="Tms Rmn" w:hAnsi="Tms Rmn"/>
    </w:rPr>
  </w:style>
  <w:style w:styleId="Style_19_ch" w:type="character">
    <w:name w:val="Обычный1"/>
    <w:link w:val="Style_19"/>
    <w:rPr>
      <w:rFonts w:ascii="Tms Rmn" w:hAnsi="Tms Rmn"/>
    </w:rPr>
  </w:style>
  <w:style w:styleId="Style_20" w:type="paragraph">
    <w:name w:val="Header and Footer"/>
    <w:link w:val="Style_20_ch"/>
    <w:pPr>
      <w:widowControl w:val="1"/>
      <w:ind/>
      <w:jc w:val="both"/>
    </w:pPr>
    <w:rPr>
      <w:rFonts w:ascii="XO Thames" w:hAnsi="XO Thames"/>
    </w:rPr>
  </w:style>
  <w:style w:styleId="Style_20_ch" w:type="character">
    <w:name w:val="Header and Footer"/>
    <w:link w:val="Style_20"/>
    <w:rPr>
      <w:rFonts w:ascii="XO Thames" w:hAnsi="XO Thames"/>
    </w:rPr>
  </w:style>
  <w:style w:styleId="Style_21" w:type="paragraph">
    <w:name w:val="header"/>
    <w:basedOn w:val="Style_2"/>
    <w:link w:val="Style_21_ch"/>
    <w:pPr>
      <w:widowControl w:val="1"/>
      <w:tabs>
        <w:tab w:leader="none" w:pos="4677" w:val="center"/>
        <w:tab w:leader="none" w:pos="9355" w:val="right"/>
      </w:tabs>
      <w:ind/>
    </w:pPr>
  </w:style>
  <w:style w:styleId="Style_21_ch" w:type="character">
    <w:name w:val="header"/>
    <w:basedOn w:val="Style_2_ch"/>
    <w:link w:val="Style_21"/>
  </w:style>
  <w:style w:styleId="Style_22" w:type="paragraph">
    <w:name w:val="toc 9"/>
    <w:next w:val="Style_2"/>
    <w:link w:val="Style_22_ch"/>
    <w:uiPriority w:val="39"/>
    <w:pPr>
      <w:widowControl w:val="1"/>
      <w:ind w:left="1600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2"/>
    <w:link w:val="Style_23_ch"/>
    <w:uiPriority w:val="39"/>
    <w:pPr>
      <w:widowControl w:val="1"/>
      <w:ind w:left="1400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footer"/>
    <w:basedOn w:val="Style_2"/>
    <w:link w:val="Style_24_ch"/>
    <w:pPr>
      <w:widowControl w:val="1"/>
      <w:tabs>
        <w:tab w:leader="none" w:pos="4677" w:val="center"/>
        <w:tab w:leader="none" w:pos="9355" w:val="right"/>
      </w:tabs>
      <w:ind/>
    </w:pPr>
  </w:style>
  <w:style w:styleId="Style_24_ch" w:type="character">
    <w:name w:val="footer"/>
    <w:basedOn w:val="Style_2_ch"/>
    <w:link w:val="Style_24"/>
  </w:style>
  <w:style w:styleId="Style_25" w:type="paragraph">
    <w:name w:val="No Spacing"/>
    <w:link w:val="Style_25_ch"/>
    <w:rPr>
      <w:rFonts w:ascii="Tms Rmn" w:hAnsi="Tms Rmn"/>
    </w:rPr>
  </w:style>
  <w:style w:styleId="Style_25_ch" w:type="character">
    <w:name w:val="No Spacing"/>
    <w:link w:val="Style_25"/>
    <w:rPr>
      <w:rFonts w:ascii="Tms Rmn" w:hAnsi="Tms Rmn"/>
    </w:rPr>
  </w:style>
  <w:style w:styleId="Style_26" w:type="paragraph">
    <w:name w:val="toc 5"/>
    <w:next w:val="Style_2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Основной шрифт абзаца1"/>
    <w:link w:val="Style_27_ch"/>
  </w:style>
  <w:style w:styleId="Style_27_ch" w:type="character">
    <w:name w:val="Основной шрифт абзаца1"/>
    <w:link w:val="Style_27"/>
  </w:style>
  <w:style w:styleId="Style_28" w:type="paragraph">
    <w:name w:val="Subtitle"/>
    <w:next w:val="Style_2"/>
    <w:link w:val="Style_2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2"/>
    <w:link w:val="Style_2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2"/>
    <w:link w:val="Style_3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2"/>
    <w:link w:val="Style_3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2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png" Type="http://schemas.openxmlformats.org/officeDocument/2006/relationships/image"/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2025-04-29T07:03:00Z</dcterms:created>
  <dcterms:modified xsi:type="dcterms:W3CDTF">2026-06-10T06:11:44Z</dcterms:modified>
</cp:coreProperties>
</file>